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17" w:before="0" w:after="0"/>
        <w:ind w:left="1000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ind w:left="10000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к плану мероприятий по оздоровлению муниципальных финансов Тугулымского муниципального округа на 2025-2027 годы</w:t>
      </w:r>
    </w:p>
    <w:p>
      <w:pPr>
        <w:pStyle w:val="24"/>
        <w:keepNext w:val="true"/>
        <w:keepLines/>
        <w:shd w:val="clear" w:color="auto" w:fill="auto"/>
        <w:spacing w:lineRule="exact" w:line="280" w:before="0" w:after="0"/>
        <w:rPr>
          <w:rFonts w:ascii="Liberation Serif" w:hAnsi="Liberation Serif"/>
          <w:sz w:val="24"/>
          <w:szCs w:val="24"/>
        </w:rPr>
      </w:pPr>
      <w:bookmarkStart w:id="0" w:name="bookmark9"/>
      <w:r>
        <w:rPr>
          <w:rFonts w:ascii="Liberation Serif" w:hAnsi="Liberation Serif"/>
          <w:sz w:val="24"/>
          <w:szCs w:val="24"/>
        </w:rPr>
        <w:t>МЕРОПРИЯТИЯ</w:t>
      </w:r>
      <w:bookmarkEnd w:id="0"/>
    </w:p>
    <w:p>
      <w:pPr>
        <w:pStyle w:val="41"/>
        <w:shd w:val="clear" w:color="auto" w:fill="auto"/>
        <w:spacing w:lineRule="exact" w:line="28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 оздоровлению муниципальных финансов Тугулымского муниципального округа на 2025-2027 годы</w:t>
      </w:r>
    </w:p>
    <w:tbl>
      <w:tblPr>
        <w:tblW w:w="15615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807"/>
        <w:gridCol w:w="22"/>
        <w:gridCol w:w="3805"/>
        <w:gridCol w:w="20"/>
        <w:gridCol w:w="1537"/>
        <w:gridCol w:w="83"/>
        <w:gridCol w:w="2081"/>
        <w:gridCol w:w="154"/>
        <w:gridCol w:w="3339"/>
        <w:gridCol w:w="2"/>
        <w:gridCol w:w="1354"/>
        <w:gridCol w:w="1260"/>
        <w:gridCol w:w="1151"/>
      </w:tblGrid>
      <w:tr>
        <w:trPr>
          <w:trHeight w:val="581" w:hRule="exact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Номер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строки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Наименование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мероприятия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Срок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исполне</w:t>
              <w:softHyphen/>
              <w:t>ния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Ответственный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исполнитель</w:t>
            </w:r>
          </w:p>
        </w:tc>
        <w:tc>
          <w:tcPr>
            <w:tcW w:w="34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Наименование целевого показателя (бюджетный эффект)</w:t>
            </w:r>
          </w:p>
        </w:tc>
        <w:tc>
          <w:tcPr>
            <w:tcW w:w="3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Значение целевого показателя (сумма бюджетного эффекта)</w:t>
            </w:r>
          </w:p>
        </w:tc>
      </w:tr>
      <w:tr>
        <w:trPr>
          <w:trHeight w:val="449" w:hRule="exact"/>
        </w:trPr>
        <w:tc>
          <w:tcPr>
            <w:tcW w:w="8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82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1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49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2025 год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2026 год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2027 год</w:t>
            </w:r>
          </w:p>
        </w:tc>
      </w:tr>
      <w:tr>
        <w:trPr>
          <w:trHeight w:val="283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</w:tr>
      <w:tr>
        <w:trPr>
          <w:trHeight w:val="427" w:hRule="exact"/>
        </w:trPr>
        <w:tc>
          <w:tcPr>
            <w:tcW w:w="156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ListParagraph"/>
              <w:numPr>
                <w:ilvl w:val="0"/>
                <w:numId w:val="1"/>
              </w:numPr>
              <w:spacing w:before="0" w:after="0"/>
              <w:contextualSpacing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 xml:space="preserve">Мероприятия, направленные на рост доходов бюджета Тугулымского </w:t>
            </w: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муниципального</w:t>
            </w: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 xml:space="preserve"> округа</w:t>
            </w:r>
          </w:p>
        </w:tc>
      </w:tr>
      <w:tr>
        <w:trPr>
          <w:trHeight w:val="90" w:hRule="atLeas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200"/>
              <w:ind w:left="148" w:right="27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Разработка и реализация плана мероприятий («дорожной карты») по повышению доходного потенциала Тугулымского муниципального округа Свердловской области на соответствующий период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по мере необходимости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(отдел экономики и инвестиций)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Принятие нормативного правового акта и оценка эффективности реализации плана мероприятий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381"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>да</w:t>
            </w:r>
          </w:p>
        </w:tc>
      </w:tr>
      <w:tr>
        <w:trPr>
          <w:trHeight w:val="4402" w:hRule="atLeas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ind w:left="148" w:right="279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оценки эффективности налоговых расходов Тугулымского муниципального округа в соответствии с Порядком формирования перечня налоговых расходов и оценки налоговых расходов Тугулымского муниципального округа  подготовка предложений по совершенствованию налоговой политики на очередной финансовый год и плановый период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  <w:p>
            <w:pPr>
              <w:pStyle w:val="Normal"/>
              <w:spacing w:lineRule="atLeast" w:line="20"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 – 4 кварталы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 w:eastAsia="" w:eastAsiaTheme="minorEastAsia"/>
                <w:b w:val="false"/>
                <w:color w:val="FF0000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color w:val="FF0000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Кураторы налоговых расходов</w:t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Финансовое управление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Удельный вес недополученных доходов в результате действия налоговых льгот, в общем объеме налоговых доходов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>&lt;= 3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>&lt;= 3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ind w:left="381"/>
              <w:jc w:val="center"/>
              <w:rPr/>
            </w:pPr>
            <w:r>
              <w:rPr>
                <w:rStyle w:val="275pt1"/>
                <w:rFonts w:eastAsia="" w:ascii="Liberation Serif" w:hAnsi="Liberation Serif" w:eastAsiaTheme="minorEastAsia"/>
                <w:b/>
                <w:sz w:val="24"/>
                <w:szCs w:val="24"/>
              </w:rPr>
              <w:t>&lt;= 3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%</w:t>
            </w:r>
          </w:p>
        </w:tc>
      </w:tr>
      <w:tr>
        <w:trPr>
          <w:trHeight w:val="283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</w:tr>
      <w:tr>
        <w:trPr>
          <w:trHeight w:val="998" w:hRule="atLeast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Увеличение объема(доли) поступлений неналоговых доходов в бюджет Тугулымского муниципального округа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Главные администраторы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доходов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неналоговых доходов в общем объеме собственных доходов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=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&gt; 5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=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&gt; 5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=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&gt; 5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%</w:t>
            </w:r>
          </w:p>
        </w:tc>
      </w:tr>
      <w:tr>
        <w:trPr>
          <w:trHeight w:val="701" w:hRule="exact"/>
        </w:trPr>
        <w:tc>
          <w:tcPr>
            <w:tcW w:w="8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color w:themeColor="text1" w:val="00000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</w:r>
          </w:p>
        </w:tc>
        <w:tc>
          <w:tcPr>
            <w:tcW w:w="382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16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Бюджетный эффект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10000,0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10000,0 тыс. руб.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10000,0 тыс. руб.</w:t>
            </w:r>
          </w:p>
        </w:tc>
      </w:tr>
      <w:tr>
        <w:trPr>
          <w:trHeight w:val="5260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Организация</w:t>
            </w:r>
          </w:p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взаимодействия</w:t>
            </w:r>
          </w:p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совместно с территориальными органами федеральных органов исполнительной власти, в том числе в рамках</w:t>
            </w:r>
          </w:p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межведомственных комиссий (рабочих групп) различного уровня по выполнению мероприятий, направленных на повышение прибыльности организаций, ликвидацию убыточности, своевременное перечисление налога на доходы физических лиц (далее - НДФЛ) и его легализацию, а также на сокращение задолженности по налогам и сборам, подлежащим зачислению в областной и местные бюджеты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Финансовое управление администрации Тугулымского муниципального округа</w:t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 взаимодействии с УФНС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Бюджетный эффект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11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000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,0  тыс. рублей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=&gt;5000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,0 тыс. рублей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=&gt;5000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,0 тыс. рублей</w:t>
            </w:r>
          </w:p>
        </w:tc>
      </w:tr>
      <w:tr>
        <w:trPr>
          <w:trHeight w:val="1654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 xml:space="preserve">Проведение мероприятий по легализации неформальной занятости на территории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ежеквартально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>количество граждан, с которыми оформлены трудовые отношения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=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60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=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59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человек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=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59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человек</w:t>
            </w:r>
          </w:p>
        </w:tc>
      </w:tr>
      <w:tr>
        <w:trPr>
          <w:trHeight w:val="283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</w:tr>
      <w:tr>
        <w:trPr>
          <w:trHeight w:val="2236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Дополнительная мобилизация имущественных налогов за счет проведения мероприятий по вовлечению в налогооблагаемый (хозяйственный) оборот объектов недвижимого имущества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</w:t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>Бюджетный эффект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15,0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15,0 тыс. руб.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15,0 тыс. руб.</w:t>
            </w:r>
          </w:p>
        </w:tc>
      </w:tr>
      <w:tr>
        <w:trPr>
          <w:trHeight w:val="2481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Формирование реалистичного прогноза по доходам бюджета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 от продажи (приватизации) имущества, находящегося в муниципальной собственности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округа, на очередной год и плановый период</w:t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очередной финансовый год и плановый период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исполнение</w:t>
            </w:r>
          </w:p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утвержденного годового прогноза по доходам местного бюджета от продажи (приватизации) имущества, находящегося в муниципальной  собственности, в размере не менее 90 и не более 110%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от 90 до 110%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от 90 до 110%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от 90 до 110%</w:t>
            </w:r>
          </w:p>
        </w:tc>
      </w:tr>
      <w:tr>
        <w:trPr>
          <w:trHeight w:val="2524" w:hRule="atLeas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Проведение инвентаризации имущества, находящегося в муниципальной собственности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 или частично неиспользуемых объектов недвижимости и принятия по ним решений, связанных с распоряжением имуществом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themeColor="text1" w:val="000000"/>
                <w:sz w:val="24"/>
                <w:szCs w:val="24"/>
              </w:rPr>
              <w:t>среднегодовая стоимость объектов капитального строительства, в отношении которых проведена инвентаризация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500,0 тыс. руб.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100,0 тыс. руб.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  <w:lang w:val="en-US"/>
              </w:rPr>
              <w:t>=&gt;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100,0 тыс. руб.</w:t>
            </w:r>
          </w:p>
        </w:tc>
      </w:tr>
      <w:tr>
        <w:trPr>
          <w:trHeight w:val="2499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Осуществление контроля за соблюдением достоверности установления ставок арендной платы за пользование муниципальным имуществом Тугулымского муниципального округа, в том числе земельными участками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соответствие ставок арендной платы по действующим договорам аренды муниципального казенного имущества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 и земельных участков, находящихся в муниципальной собственности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100 %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100 %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100 %</w:t>
            </w:r>
          </w:p>
        </w:tc>
      </w:tr>
      <w:tr>
        <w:trPr>
          <w:trHeight w:val="3672" w:hRule="atLeas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Проведение мероприятий по повышению эффективности деятельности административных комиссий, созданных в соответствии с </w:t>
            </w:r>
            <w:hyperlink r:id="rId2">
              <w:r>
                <w:rPr>
                  <w:rStyle w:val="Style9"/>
                  <w:rFonts w:cs="Times New Roman" w:ascii="Liberation Serif" w:hAnsi="Liberation Serif"/>
                  <w:color w:val="0000FF"/>
                  <w:sz w:val="24"/>
                  <w:szCs w:val="24"/>
                </w:rPr>
                <w:t>Законом</w:t>
              </w:r>
            </w:hyperlink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Свердловской области от 23 мая 2011 года N 31-ОЗ "О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комиссий"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ежеквартально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эффективность деятельности административных комиссий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да</w:t>
            </w:r>
          </w:p>
        </w:tc>
      </w:tr>
      <w:tr>
        <w:trPr>
          <w:trHeight w:val="1760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Повышение качества управления просроченной дебиторской задолженностью по администрируемым доходам местного бюджета (без учета безвозмездных поступлений)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ежеквар</w:t>
              <w:softHyphen/>
              <w:t>тально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 xml:space="preserve">Главные администраторы бюджетных средств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 xml:space="preserve">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снижение просроченной</w:t>
            </w:r>
          </w:p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дебиторской</w:t>
            </w:r>
          </w:p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задолженности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да/нет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да/нет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да/нет</w:t>
            </w:r>
          </w:p>
        </w:tc>
      </w:tr>
      <w:tr>
        <w:trPr>
          <w:trHeight w:val="2561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 xml:space="preserve">Выполнение плана мероприятий («дорожных карт») по повышению инвестиционной привлекательности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 xml:space="preserve"> округа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ежеквартально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интегральный индекс Тугулымского муниципального округа в  рейтинге содействия развитию конкуренции обеспечение условий для благоприятного инвестиционного климата муниципальных образований Свердловской области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=&gt;43балла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=&gt; 43 балла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=&gt; 43 балла</w:t>
            </w:r>
          </w:p>
        </w:tc>
      </w:tr>
      <w:tr>
        <w:trPr>
          <w:trHeight w:val="1026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Проведение мероприятий по реализации проектов инициативного бюджетирования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2025-2027гг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Увеличение неналоговых доходов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625,9</w:t>
            </w:r>
          </w:p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тыс.рублей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>-</w:t>
            </w:r>
          </w:p>
        </w:tc>
      </w:tr>
      <w:tr>
        <w:trPr>
          <w:trHeight w:val="559" w:hRule="exact"/>
        </w:trPr>
        <w:tc>
          <w:tcPr>
            <w:tcW w:w="156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Раздел 2. Программа оптимизации расходов бюджета Тугулымского муниципального округа</w:t>
            </w:r>
          </w:p>
        </w:tc>
      </w:tr>
      <w:tr>
        <w:trPr>
          <w:trHeight w:val="1547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Планирование расходов местного бюджета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 преимущественно в программной структуре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Финансовое управление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доля расходов местного бюджета, формируемых в рамках программ, в общем объеме расходов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>=&gt;92%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>=&gt;92%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ind w:left="28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themeColor="text1" w:val="000000"/>
                <w:sz w:val="24"/>
                <w:szCs w:val="24"/>
              </w:rPr>
              <w:t>=&gt;92%</w:t>
            </w:r>
          </w:p>
        </w:tc>
      </w:tr>
      <w:tr>
        <w:trPr>
          <w:trHeight w:val="2055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оценки эффективности реализации муниципальных программ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</w:t>
              <w:softHyphen/>
              <w:t>но до 1 апреля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Представление доклада  о ходе реализации и оценке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эффективности реализации муниципальных программ главе Тугулымского муниципального округа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да</w:t>
            </w:r>
          </w:p>
        </w:tc>
      </w:tr>
      <w:tr>
        <w:trPr>
          <w:trHeight w:val="4737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Актуализация порядка формирования и реализации муниципальных программ Тугулымского муниципального округа, утвержденного постановлением администрации Тугулымского городского округа от 14.10.2013 № 325 «Об утверждении Положения о порядке формирования и реализации муниципальных программ Тугулымского городского округа» (далее – Положение) в целях внедрения принципов проектного управления и унификации с областными, федеральными нормами и требованиями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первое полугодие 2025 года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Переход муниципальных программ на новую систему управления в соответствии с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Методическими </w:t>
            </w:r>
            <w:hyperlink r:id="rId3">
              <w:r>
                <w:rPr>
                  <w:rStyle w:val="Style9"/>
                  <w:rFonts w:cs="Times New Roman" w:ascii="Liberation Serif" w:hAnsi="Liberation Serif"/>
                  <w:color w:themeColor="text1" w:val="000000"/>
                  <w:sz w:val="24"/>
                  <w:szCs w:val="24"/>
                </w:rPr>
                <w:t>рекомендаци</w:t>
              </w:r>
            </w:hyperlink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 xml:space="preserve">ями по разработке и реализации государственных программ субъектов Российской Федерации и муниципальных программ с учетом подходов и принципов, предусмотренных </w:t>
            </w:r>
            <w:hyperlink r:id="rId4">
              <w:r>
                <w:rPr>
                  <w:rStyle w:val="Style9"/>
                  <w:rFonts w:cs="Times New Roman" w:ascii="Liberation Serif" w:hAnsi="Liberation Serif"/>
                  <w:color w:themeColor="text1" w:val="000000"/>
                  <w:sz w:val="24"/>
                  <w:szCs w:val="24"/>
                </w:rPr>
                <w:t>постановлением</w:t>
              </w:r>
            </w:hyperlink>
            <w:r>
              <w:rPr>
                <w:rFonts w:cs="Times New Roman" w:ascii="Liberation Serif" w:hAnsi="Liberation Serif"/>
                <w:color w:themeColor="text1" w:val="000000"/>
                <w:sz w:val="24"/>
                <w:szCs w:val="24"/>
              </w:rPr>
              <w:t xml:space="preserve"> Правительства Российской Федерации от 26 мая 2021 г. N 786 "О с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истеме управления государственными программами Российской Федерации"</w:t>
            </w:r>
          </w:p>
          <w:p>
            <w:pPr>
              <w:pStyle w:val="NormalWeb"/>
              <w:spacing w:before="280" w:after="0"/>
              <w:jc w:val="center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>-</w:t>
            </w:r>
          </w:p>
        </w:tc>
      </w:tr>
      <w:tr>
        <w:trPr>
          <w:trHeight w:val="1991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74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Осуществление внутреннего финансового контроля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exact" w:line="278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Финансовое управление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74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соотношение суммы выявленных органом внутреннего финансового контроля нарушений к общему объему проверенных средств по проведенным контрольным мероприятиям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>
                <w:rFonts w:ascii="Liberation Serif" w:hAnsi="Liberation Serif" w:eastAsia="" w:eastAsiaTheme="minorEastAsia"/>
                <w:b w:val="false"/>
                <w:color w:val="auto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color w:val="auto"/>
                <w:sz w:val="24"/>
                <w:szCs w:val="24"/>
              </w:rPr>
            </w:r>
          </w:p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=&gt;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  <w:lang w:val="en-US"/>
              </w:rPr>
              <w:t xml:space="preserve"> 5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%</w:t>
            </w:r>
          </w:p>
          <w:p>
            <w:pPr>
              <w:pStyle w:val="Normal"/>
              <w:spacing w:lineRule="exact" w:line="220" w:before="0" w:after="0"/>
              <w:jc w:val="center"/>
              <w:rPr>
                <w:rFonts w:ascii="Liberation Serif" w:hAnsi="Liberation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  <w:highlight w:val="yellow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>
                <w:rFonts w:ascii="Liberation Serif" w:hAnsi="Liberation Serif" w:eastAsia="" w:eastAsiaTheme="minorEastAsia"/>
                <w:b w:val="false"/>
                <w:color w:val="auto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color w:val="auto"/>
                <w:sz w:val="24"/>
                <w:szCs w:val="24"/>
              </w:rPr>
            </w:r>
          </w:p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=&gt;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  <w:lang w:val="en-US"/>
              </w:rPr>
              <w:t xml:space="preserve"> 3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%</w:t>
            </w:r>
          </w:p>
          <w:p>
            <w:pPr>
              <w:pStyle w:val="Normal"/>
              <w:spacing w:lineRule="exact" w:line="220" w:before="0" w:after="0"/>
              <w:jc w:val="center"/>
              <w:rPr>
                <w:rFonts w:ascii="Liberation Serif" w:hAnsi="Liberation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  <w:highlight w:val="yellow"/>
              </w:rPr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>
                <w:rFonts w:ascii="Liberation Serif" w:hAnsi="Liberation Serif" w:eastAsia="" w:eastAsiaTheme="minorEastAsia"/>
                <w:b w:val="false"/>
                <w:color w:val="auto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color w:val="auto"/>
                <w:sz w:val="24"/>
                <w:szCs w:val="24"/>
              </w:rPr>
            </w:r>
          </w:p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=&gt;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  <w:lang w:val="en-US"/>
              </w:rPr>
              <w:t xml:space="preserve"> 3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%</w:t>
            </w:r>
          </w:p>
          <w:p>
            <w:pPr>
              <w:pStyle w:val="Normal"/>
              <w:spacing w:lineRule="exact" w:line="220" w:before="0" w:after="0"/>
              <w:jc w:val="center"/>
              <w:rPr>
                <w:rFonts w:ascii="Liberation Serif" w:hAnsi="Liberation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  <w:highlight w:val="yellow"/>
              </w:rPr>
            </w:r>
          </w:p>
        </w:tc>
      </w:tr>
      <w:tr>
        <w:trPr>
          <w:trHeight w:val="2245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Мониторинг просроченной кредиторской задолженности муниципальных учреждений. Анализ причин возникновения и принятие мер по ее сокращению</w:t>
            </w:r>
          </w:p>
          <w:p>
            <w:pPr>
              <w:pStyle w:val="Normal"/>
              <w:spacing w:before="0" w:after="20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ежемесячно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Главные распорядители бюджетных средств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отношение объема просроченной кредиторской задолженности муниципальных учреждений к расходам бюджета муниципального округа (за исключением субсидий, субвенций и иных межбюджетных трансфертов)</w:t>
            </w:r>
          </w:p>
          <w:p>
            <w:pPr>
              <w:pStyle w:val="Normal"/>
              <w:spacing w:before="0" w:after="20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&lt;= 0,1%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ind w:left="36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&lt;= 0,1%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ind w:left="3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&lt;= 0,1%</w:t>
            </w:r>
          </w:p>
        </w:tc>
      </w:tr>
      <w:tr>
        <w:trPr>
          <w:trHeight w:val="3994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Оптимизация сети муниципальных учреждений Тугулымского муниципального округа за счет изменения типа, реорганизации и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ликвидации муниципальных учреждений Тугулымского муниципального округа, включая учреждения, деятельность которых не соответствует полномочиям Тугулымского муниципального округа и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функциям органа, осуществляющего в отношении учреждения функции и полномочия учредителя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</w:t>
            </w:r>
          </w:p>
          <w:p>
            <w:pPr>
              <w:pStyle w:val="Normal"/>
              <w:spacing w:before="0" w:after="0"/>
              <w:jc w:val="center"/>
              <w:rPr>
                <w:rFonts w:ascii="Liberation Serif" w:hAnsi="Liberation Serif" w:eastAsia="" w:eastAsiaTheme="minorEastAsia"/>
                <w:b w:val="false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sz w:val="24"/>
                <w:szCs w:val="24"/>
              </w:rPr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муниципальных учреждений Тугулымского муниципального округа, в отношении которых осуществлены изменение типа, реорганизация и ликвидация, запланированные в соответствии с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программой управления муниципальной собственностью и</w:t>
            </w:r>
            <w:r>
              <w:rPr>
                <w:rFonts w:ascii="Liberation Serif" w:hAnsi="Liberation Serif"/>
                <w:sz w:val="24"/>
                <w:szCs w:val="24"/>
                <w:lang w:val="en-US"/>
              </w:rPr>
              <w:t> </w:t>
            </w:r>
            <w:r>
              <w:rPr>
                <w:rFonts w:ascii="Liberation Serif" w:hAnsi="Liberation Serif"/>
                <w:sz w:val="24"/>
                <w:szCs w:val="24"/>
              </w:rPr>
              <w:t>приватизации муниципального имущества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ind w:left="36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ind w:left="36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ind w:left="3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>
        <w:trPr>
          <w:trHeight w:val="3348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Обеспечение сохранения достигнутого уровня целевых показателей, установленных указами Президента Российской Федерации по повышению оплаты труда отдельных категорий работников бюджетной сферы, в муниципальных учреждениях Тугулымского муниципального округа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before="0" w:after="11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Управление образования</w:t>
            </w:r>
          </w:p>
          <w:p>
            <w:pPr>
              <w:pStyle w:val="NormalWeb"/>
              <w:spacing w:before="280" w:after="11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соблюдение соотношения значений средней заработной платы отдельных категорий работников бюджетной сферы, установленных указами Президента Российской Федерации по </w:t>
            </w:r>
            <w:r>
              <w:rPr>
                <w:rFonts w:cs="Liberation Serif" w:ascii="Liberation Serif" w:hAnsi="Liberation Serif"/>
                <w:sz w:val="24"/>
                <w:szCs w:val="24"/>
              </w:rPr>
              <w:t>повышению оплаты труда отдельных категорий работников бюджетной сферы, в муниципальных учреждениях Тугулымского муниципального округа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11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11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11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100%</w:t>
            </w:r>
          </w:p>
        </w:tc>
      </w:tr>
      <w:tr>
        <w:trPr>
          <w:trHeight w:val="3696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Осуществление контроля за заключением муниципальными казенными учреждениями муниципальных контрактов, иных договоров, подлежащих исполнению за счет средств местного бюджета, в пределах, доведенных муниципальным казенным учреждениям лимитов бюджетных обязательств и с учетом принятых и неисполненных обязательств</w:t>
            </w:r>
          </w:p>
          <w:p>
            <w:pPr>
              <w:pStyle w:val="Normal"/>
              <w:spacing w:lineRule="atLeast" w:line="20" w:before="0" w:after="20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Главные распорядители бюджетных средств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муниципальных контрактов и иных договоров, заключенных муниципальными казенными учреждениями и подлежащих исполнению за счет средств местного бюджета, соответствующих лимитам бюджетных обязательств, доведенным муниципальным казенным учреждениям, от общего числа таких муниципальных контрактов и иных договоров</w:t>
            </w:r>
          </w:p>
          <w:p>
            <w:pPr>
              <w:pStyle w:val="Normal"/>
              <w:spacing w:lineRule="atLeast" w:line="20" w:before="0" w:after="20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100%</w:t>
            </w:r>
          </w:p>
        </w:tc>
      </w:tr>
      <w:tr>
        <w:trPr>
          <w:trHeight w:val="3805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Обеспечение частичного или полного возврата субсидий, предоставленных муниципальным бюджетным учреждениям, при фактическом исполнении муниципального задания в меньшем</w:t>
            </w:r>
          </w:p>
          <w:p>
            <w:pPr>
              <w:pStyle w:val="Normal"/>
              <w:shd w:val="clear" w:color="auto" w:fill="FFFFFF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объеме, чем это предусмотрено, или с качеством, не соответствующим требованиям к оказанию</w:t>
            </w:r>
          </w:p>
          <w:p>
            <w:pPr>
              <w:pStyle w:val="Normal"/>
              <w:shd w:val="clear" w:color="auto" w:fill="FFFFFF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муниципальных услуг, определенном в</w:t>
            </w:r>
          </w:p>
          <w:p>
            <w:pPr>
              <w:pStyle w:val="Normal"/>
              <w:shd w:val="clear" w:color="auto" w:fill="FFFFFF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муниципальном задании.</w:t>
            </w:r>
          </w:p>
          <w:p>
            <w:pPr>
              <w:pStyle w:val="Normal"/>
              <w:spacing w:lineRule="atLeast" w:line="20" w:before="0" w:after="20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Администрация Тугулымского муниципального округа, Управление образования администрация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доля субсидии на финансовое</w:t>
            </w:r>
          </w:p>
          <w:p>
            <w:pPr>
              <w:pStyle w:val="Normal"/>
              <w:shd w:val="clear" w:color="auto" w:fill="FFFFFF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обеспечение выполнения</w:t>
            </w:r>
          </w:p>
          <w:p>
            <w:pPr>
              <w:pStyle w:val="Normal"/>
              <w:shd w:val="clear" w:color="auto" w:fill="FFFFFF"/>
              <w:spacing w:lineRule="atLeast" w:line="20" w:before="0" w:after="0"/>
              <w:jc w:val="center"/>
              <w:rPr/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 xml:space="preserve">муниципального задания, возвращенной в установленном администрацией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 xml:space="preserve"> округа срок, в общем объеме субсидии на финансовое обеспечение выполнения муниципального задания, подлежащей возврату в установленных администрацией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Style w:val="211pt"/>
                <w:rFonts w:eastAsia="" w:ascii="Liberation Serif" w:hAnsi="Liberation Serif" w:eastAsiaTheme="minorEastAsia"/>
                <w:b w:val="false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округа случаях</w:t>
            </w:r>
          </w:p>
          <w:p>
            <w:pPr>
              <w:pStyle w:val="Normal"/>
              <w:spacing w:lineRule="atLeast" w:line="20" w:before="0" w:after="200"/>
              <w:ind w:left="184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highlight w:val="yellow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100%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100%</w:t>
            </w:r>
          </w:p>
        </w:tc>
      </w:tr>
      <w:tr>
        <w:trPr>
          <w:trHeight w:val="2862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Осуществление проверки обоснования начальной (максимальной) цены контракта, цены контракта, заключаемого с единственным поставщиком (подрядчиком, исполнителем), в целях сокращения расходов местного бюджета при осуществлении закупок товаров, работ, услуг</w:t>
            </w:r>
          </w:p>
          <w:p>
            <w:pPr>
              <w:pStyle w:val="NormalWeb"/>
              <w:spacing w:lineRule="atLeast" w:line="20" w:before="28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ежегодно</w:t>
            </w:r>
          </w:p>
          <w:p>
            <w:pPr>
              <w:pStyle w:val="NormalWeb"/>
              <w:spacing w:lineRule="atLeast" w:line="20" w:before="28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Web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Администрация Тугулымского муниципального округа, главные распорядители средств местного бюджета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получение экономии бюджетных средств по результатам осуществления закупок товаров, работ, услуг</w:t>
            </w:r>
          </w:p>
          <w:p>
            <w:pPr>
              <w:pStyle w:val="NormalWeb"/>
              <w:spacing w:lineRule="atLeast" w:line="20" w:before="280" w:after="119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Web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</w:tr>
      <w:tr>
        <w:trPr>
          <w:trHeight w:val="2824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 xml:space="preserve">Недопущение  увеличения численности  муниципальных служащих  администрации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 xml:space="preserve"> округа, за исключением случаев наделения ГРБС  дополнительными  полномочиями, а также перераспределения полномочий между ГРБС.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Глава Тугулымского муниципального округа,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главные распорядители   бюджетных средств администрации Тугулымского муниципального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</w:rPr>
              <w:t xml:space="preserve">Численность </w:t>
            </w: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</w:rPr>
              <w:t>муниципальных служащих  администрации</w:t>
            </w:r>
            <w:r>
              <w:rPr>
                <w:rFonts w:cs="Times New Roman" w:ascii="Liberation Serif" w:hAnsi="Liberation Serif"/>
                <w:color w:val="000000"/>
                <w:sz w:val="24"/>
                <w:szCs w:val="24"/>
              </w:rPr>
              <w:t xml:space="preserve"> не увеличена (да/нет)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</w:tr>
      <w:tr>
        <w:trPr>
          <w:trHeight w:val="1699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hd w:val="clear" w:color="auto" w:fill="FFFFFF"/>
              <w:spacing w:lineRule="atLeast" w:line="2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оптимизации расходов на содержание органов местного самоуправления Тугулымского муниципального округа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ежегодно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Главные распорядители  бюджетных средств администрации Тугулымского городского округа</w:t>
            </w:r>
          </w:p>
        </w:tc>
        <w:tc>
          <w:tcPr>
            <w:tcW w:w="3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hd w:val="clear" w:color="auto" w:fill="FFFFFF"/>
              <w:spacing w:lineRule="atLeast" w:line="2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Проведение мероприятий по оптимизации расходов  в органах местного самоуправления Тугулымского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муниципального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 xml:space="preserve"> округа, (да/нет)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exact" w:line="22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</w:tr>
      <w:tr>
        <w:trPr>
          <w:trHeight w:val="676" w:hRule="exact"/>
        </w:trPr>
        <w:tc>
          <w:tcPr>
            <w:tcW w:w="156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Cs w:val="false"/>
                <w:color w:val="auto"/>
                <w:sz w:val="24"/>
                <w:szCs w:val="24"/>
              </w:rPr>
              <w:t>Раздел.3 Мероприятия, направленные на обеспечение стабильности и устойчивости бюджетной системы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Cs w:val="false"/>
                <w:color w:val="auto"/>
                <w:sz w:val="24"/>
                <w:szCs w:val="24"/>
                <w:lang w:val="en-US"/>
              </w:rPr>
              <w:t>Тугулымского муниципального округа</w:t>
            </w:r>
          </w:p>
        </w:tc>
      </w:tr>
      <w:tr>
        <w:trPr>
          <w:trHeight w:val="1731" w:hRule="exact"/>
        </w:trPr>
        <w:tc>
          <w:tcPr>
            <w:tcW w:w="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  <w:lang w:val="en-US"/>
              </w:rPr>
              <w:t>26</w:t>
            </w:r>
          </w:p>
        </w:tc>
        <w:tc>
          <w:tcPr>
            <w:tcW w:w="3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Отсутствие муниципального долга Тугулымского муниципального округа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ежегодно</w:t>
            </w:r>
          </w:p>
        </w:tc>
        <w:tc>
          <w:tcPr>
            <w:tcW w:w="2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Финансовое управление администрации Тугулымского муниципального округа</w:t>
            </w:r>
          </w:p>
        </w:tc>
        <w:tc>
          <w:tcPr>
            <w:tcW w:w="3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Отсутствие муниципального долга Тугулымского муниципального округа  по состоянию на 1 января года, следующего за отчетным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center"/>
              <w:rPr>
                <w:rFonts w:ascii="Liberation Serif" w:hAnsi="Liberation Serif" w:eastAsia="" w:eastAsiaTheme="minorEastAsia"/>
                <w:b w:val="false"/>
                <w:color w:val="auto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color w:val="auto"/>
                <w:sz w:val="24"/>
                <w:szCs w:val="24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Liberation Serif" w:hAnsi="Liberation Serif" w:eastAsia="" w:eastAsiaTheme="minorEastAsia"/>
                <w:b w:val="false"/>
                <w:color w:val="auto"/>
                <w:sz w:val="24"/>
                <w:szCs w:val="24"/>
              </w:rPr>
            </w:pPr>
            <w:r>
              <w:rPr>
                <w:rFonts w:eastAsia="" w:eastAsiaTheme="minorEastAsia" w:ascii="Liberation Serif" w:hAnsi="Liberation Serif"/>
                <w:b w:val="false"/>
                <w:color w:val="auto"/>
                <w:sz w:val="24"/>
                <w:szCs w:val="24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да</w:t>
            </w:r>
          </w:p>
        </w:tc>
      </w:tr>
      <w:tr>
        <w:trPr>
          <w:trHeight w:val="701" w:hRule="exact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104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="0" w:after="20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Всего сумма бюджетного эффекта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=&gt;</w:t>
            </w: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21015,0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=&gt;</w:t>
            </w: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15015,0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Style w:val="211pt"/>
                <w:rFonts w:eastAsia="" w:ascii="Liberation Serif" w:hAnsi="Liberation Serif" w:eastAsiaTheme="minorEastAsia"/>
                <w:b w:val="false"/>
                <w:color w:val="auto"/>
                <w:sz w:val="24"/>
                <w:szCs w:val="24"/>
              </w:rPr>
              <w:t>=&gt;</w:t>
            </w: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15015,0</w:t>
            </w:r>
          </w:p>
        </w:tc>
      </w:tr>
    </w:tbl>
    <w:p>
      <w:pPr>
        <w:pStyle w:val="41"/>
        <w:shd w:val="clear" w:color="auto" w:fill="auto"/>
        <w:spacing w:lineRule="auto" w:line="240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1"/>
        <w:shd w:val="clear" w:color="auto" w:fill="auto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sectPr>
      <w:type w:val="nextPage"/>
      <w:pgSz w:orient="landscape" w:w="16838" w:h="11906"/>
      <w:pgMar w:left="567" w:right="680" w:gutter="0" w:header="0" w:top="340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 Unicode MS">
    <w:charset w:val="01"/>
    <w:family w:val="roman"/>
    <w:pitch w:val="variable"/>
  </w:font>
  <w:font w:name="Candara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4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6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8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0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2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4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6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8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01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themeColor="followedHyperlink" w:val="800080"/>
      <w:u w:val="single"/>
    </w:rPr>
  </w:style>
  <w:style w:type="character" w:styleId="Hyperlink">
    <w:name w:val="Hyperlink"/>
    <w:basedOn w:val="DefaultParagraphFont"/>
    <w:semiHidden/>
    <w:unhideWhenUsed/>
    <w:qFormat/>
    <w:rPr>
      <w:color w:val="0066CC"/>
      <w:u w:val="single"/>
    </w:rPr>
  </w:style>
  <w:style w:type="character" w:styleId="3" w:customStyle="1">
    <w:name w:val="Основной текст (3)_"/>
    <w:basedOn w:val="DefaultParagraphFont"/>
    <w:link w:val="32"/>
    <w:qFormat/>
    <w:locked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1" w:customStyle="1">
    <w:name w:val="Заголовок №1_"/>
    <w:basedOn w:val="DefaultParagraphFont"/>
    <w:link w:val="11"/>
    <w:qFormat/>
    <w:locked/>
    <w:rPr>
      <w:rFonts w:ascii="Times New Roman" w:hAnsi="Times New Roman" w:eastAsia="Times New Roman" w:cs="Times New Roman"/>
      <w:b/>
      <w:bCs/>
      <w:sz w:val="36"/>
      <w:szCs w:val="36"/>
      <w:shd w:fill="FFFFFF" w:val="clear"/>
    </w:rPr>
  </w:style>
  <w:style w:type="character" w:styleId="2" w:customStyle="1">
    <w:name w:val="Заголовок №2_"/>
    <w:basedOn w:val="DefaultParagraphFont"/>
    <w:link w:val="24"/>
    <w:qFormat/>
    <w:locked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4" w:customStyle="1">
    <w:name w:val="Основной текст (4)_"/>
    <w:basedOn w:val="DefaultParagraphFont"/>
    <w:link w:val="41"/>
    <w:qFormat/>
    <w:locked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21" w:customStyle="1">
    <w:name w:val="Подпись к таблице (2)_"/>
    <w:basedOn w:val="DefaultParagraphFont"/>
    <w:link w:val="25"/>
    <w:qFormat/>
    <w:locked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5" w:customStyle="1">
    <w:name w:val="Основной текст (5)_"/>
    <w:basedOn w:val="DefaultParagraphFont"/>
    <w:link w:val="51"/>
    <w:qFormat/>
    <w:locked/>
    <w:rPr>
      <w:rFonts w:ascii="Times New Roman" w:hAnsi="Times New Roman" w:eastAsia="Times New Roman" w:cs="Times New Roman"/>
      <w:b/>
      <w:bCs/>
      <w:shd w:fill="FFFFFF" w:val="clear"/>
    </w:rPr>
  </w:style>
  <w:style w:type="character" w:styleId="2Exact" w:customStyle="1">
    <w:name w:val="Основной текст (2) Exact"/>
    <w:basedOn w:val="DefaultParagraphFont"/>
    <w:qFormat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31" w:customStyle="1">
    <w:name w:val="Основной текст (3) + Не полужирный"/>
    <w:basedOn w:val="3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8"/>
      <w:szCs w:val="28"/>
      <w:shd w:fill="FFFFFF" w:val="clear"/>
      <w:lang w:val="ru-RU" w:eastAsia="ru-RU" w:bidi="ru-RU"/>
    </w:rPr>
  </w:style>
  <w:style w:type="character" w:styleId="Style14" w:customStyle="1">
    <w:name w:val="Колонтитул_"/>
    <w:basedOn w:val="DefaultParagraphFont"/>
    <w:qFormat/>
    <w:rPr>
      <w:sz w:val="9"/>
      <w:szCs w:val="9"/>
      <w:u w:val="none"/>
    </w:rPr>
  </w:style>
  <w:style w:type="character" w:styleId="Style15" w:customStyle="1">
    <w:name w:val="Колонтитул"/>
    <w:basedOn w:val="Style14"/>
    <w:qFormat/>
    <w:rPr>
      <w:rFonts w:ascii="Arial Unicode MS" w:hAnsi="Arial Unicode MS" w:eastAsia="Arial Unicode MS" w:cs="Arial Unicode MS"/>
      <w:color w:val="000000"/>
      <w:spacing w:val="0"/>
      <w:w w:val="100"/>
      <w:sz w:val="9"/>
      <w:szCs w:val="9"/>
      <w:u w:val="none"/>
      <w:lang w:val="ru-RU" w:eastAsia="ru-RU" w:bidi="ru-RU"/>
    </w:rPr>
  </w:style>
  <w:style w:type="character" w:styleId="22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23" w:customStyle="1">
    <w:name w:val="Основной текст (2)"/>
    <w:basedOn w:val="22"/>
    <w:qFormat/>
    <w:rPr>
      <w:rFonts w:ascii="Times New Roman" w:hAnsi="Times New Roman" w:eastAsia="Times New Roman" w:cs="Times New Roman"/>
      <w:color w:val="000000"/>
      <w:spacing w:val="0"/>
      <w:w w:val="100"/>
      <w:sz w:val="28"/>
      <w:szCs w:val="28"/>
      <w:u w:val="single"/>
      <w:lang w:val="ru-RU" w:eastAsia="ru-RU" w:bidi="ru-RU"/>
    </w:rPr>
  </w:style>
  <w:style w:type="character" w:styleId="TimesNewRoman" w:customStyle="1">
    <w:name w:val="Колонтитул + Times New Roman"/>
    <w:basedOn w:val="21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shd w:fill="FFFFFF" w:val="clear"/>
      <w:lang w:val="ru-RU" w:eastAsia="ru-RU" w:bidi="ru-RU"/>
    </w:rPr>
  </w:style>
  <w:style w:type="character" w:styleId="213pt" w:customStyle="1">
    <w:name w:val="Основной текст (2) + 13 pt"/>
    <w:basedOn w:val="22"/>
    <w:qFormat/>
    <w:rPr>
      <w:rFonts w:ascii="Times New Roman" w:hAnsi="Times New Roman" w:eastAsia="Times New Roman" w:cs="Times New Roman"/>
      <w:i/>
      <w:iCs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styleId="Style16" w:customStyle="1">
    <w:name w:val="Подпись к таблице_"/>
    <w:basedOn w:val="DefaultParagraphFont"/>
    <w:qFormat/>
    <w:rPr>
      <w:rFonts w:ascii="Times New Roman" w:hAnsi="Times New Roman" w:eastAsia="Times New Roman" w:cs="Times New Roman"/>
      <w:b/>
      <w:bCs/>
      <w:spacing w:val="0"/>
      <w:sz w:val="22"/>
      <w:szCs w:val="22"/>
      <w:u w:val="none"/>
    </w:rPr>
  </w:style>
  <w:style w:type="character" w:styleId="Style17" w:customStyle="1">
    <w:name w:val="Подпись к таблице"/>
    <w:basedOn w:val="Style16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u w:val="single"/>
      <w:lang w:val="ru-RU" w:eastAsia="ru-RU" w:bidi="ru-RU"/>
    </w:rPr>
  </w:style>
  <w:style w:type="character" w:styleId="27" w:customStyle="1">
    <w:name w:val="Основной текст (2) + 7"/>
    <w:basedOn w:val="22"/>
    <w:qFormat/>
    <w:rPr>
      <w:rFonts w:ascii="Candara" w:hAnsi="Candara" w:eastAsia="Candara" w:cs="Candara"/>
      <w:color w:val="000000"/>
      <w:spacing w:val="-20"/>
      <w:w w:val="100"/>
      <w:sz w:val="13"/>
      <w:szCs w:val="13"/>
      <w:u w:val="none"/>
      <w:lang w:val="ru-RU" w:eastAsia="ru-RU" w:bidi="ru-RU"/>
    </w:rPr>
  </w:style>
  <w:style w:type="character" w:styleId="2ArialUnicodeMS" w:customStyle="1">
    <w:name w:val="Основной текст (2) + Arial Unicode MS"/>
    <w:basedOn w:val="22"/>
    <w:qFormat/>
    <w:rPr>
      <w:rFonts w:ascii="Arial Unicode MS" w:hAnsi="Arial Unicode MS" w:eastAsia="Arial Unicode MS" w:cs="Arial Unicode MS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styleId="211pt" w:customStyle="1">
    <w:name w:val="Основной текст (2) + 11 pt;Полужирный"/>
    <w:basedOn w:val="22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styleId="275pt" w:customStyle="1">
    <w:name w:val="Основной текст (2) + 7;5 pt;Малые прописные"/>
    <w:basedOn w:val="22"/>
    <w:qFormat/>
    <w:rPr>
      <w:rFonts w:ascii="Times New Roman" w:hAnsi="Times New Roman" w:eastAsia="Times New Roman" w:cs="Times New Roman"/>
      <w:smallCaps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275pt1" w:customStyle="1">
    <w:name w:val="Основной текст (2) + 7;5 pt"/>
    <w:basedOn w:val="22"/>
    <w:qFormat/>
    <w:rPr>
      <w:rFonts w:ascii="Times New Roman" w:hAnsi="Times New Roman" w:eastAsia="Times New Roman" w:cs="Times New Roman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2115pt" w:customStyle="1">
    <w:name w:val="Основной текст (2) + 11;5 pt;Полужирный"/>
    <w:basedOn w:val="22"/>
    <w:qFormat/>
    <w:rPr>
      <w:rFonts w:ascii="Times New Roman" w:hAnsi="Times New Roman" w:eastAsia="Times New Roman" w:cs="Times New Roman"/>
      <w:b/>
      <w:bCs/>
      <w:color w:val="000000"/>
      <w:spacing w:val="0"/>
      <w:w w:val="100"/>
      <w:sz w:val="23"/>
      <w:szCs w:val="23"/>
      <w:u w:val="none"/>
      <w:lang w:val="ru-RU" w:eastAsia="ru-RU" w:bidi="ru-RU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FontStyle26" w:customStyle="1">
    <w:name w:val="Font Style26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27" w:customStyle="1">
    <w:name w:val="Font Style27"/>
    <w:basedOn w:val="DefaultParagraphFont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styleId="FontStyle28" w:customStyle="1">
    <w:name w:val="Font Style28"/>
    <w:basedOn w:val="DefaultParagraphFont"/>
    <w:uiPriority w:val="99"/>
    <w:qFormat/>
    <w:rPr>
      <w:rFonts w:ascii="Times New Roman" w:hAnsi="Times New Roman" w:cs="Times New Roman"/>
      <w:sz w:val="22"/>
      <w:szCs w:val="22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32" w:customStyle="1">
    <w:name w:val="Основной текст (3)"/>
    <w:basedOn w:val="Normal"/>
    <w:link w:val="3"/>
    <w:qFormat/>
    <w:pPr>
      <w:widowControl w:val="false"/>
      <w:shd w:val="clear" w:color="auto" w:fill="FFFFFF"/>
      <w:spacing w:lineRule="exact" w:line="509" w:before="0" w:after="0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1" w:customStyle="1">
    <w:name w:val="Заголовок №1"/>
    <w:basedOn w:val="Normal"/>
    <w:link w:val="1"/>
    <w:qFormat/>
    <w:pPr>
      <w:widowControl w:val="false"/>
      <w:shd w:val="clear" w:color="auto" w:fill="FFFFFF"/>
      <w:spacing w:lineRule="exact" w:line="509" w:before="0" w:after="120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4" w:customStyle="1">
    <w:name w:val="Заголовок №2"/>
    <w:basedOn w:val="Normal"/>
    <w:link w:val="2"/>
    <w:qFormat/>
    <w:pPr>
      <w:widowControl w:val="false"/>
      <w:shd w:val="clear" w:color="auto" w:fill="FFFFFF"/>
      <w:spacing w:lineRule="exact" w:line="322" w:before="600" w:after="600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41" w:customStyle="1">
    <w:name w:val="Основной текст (4)"/>
    <w:basedOn w:val="Normal"/>
    <w:link w:val="4"/>
    <w:qFormat/>
    <w:pPr>
      <w:widowControl w:val="false"/>
      <w:shd w:val="clear" w:color="auto" w:fill="FFFFFF"/>
      <w:spacing w:lineRule="exact" w:line="322" w:before="0" w:after="0"/>
      <w:jc w:val="right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25" w:customStyle="1">
    <w:name w:val="Подпись к таблице (2)"/>
    <w:basedOn w:val="Normal"/>
    <w:link w:val="21"/>
    <w:qFormat/>
    <w:pPr>
      <w:widowControl w:val="false"/>
      <w:shd w:val="clear" w:color="auto" w:fill="FFFFFF"/>
      <w:spacing w:lineRule="exact" w:line="278" w:before="0" w:after="0"/>
    </w:pPr>
    <w:rPr>
      <w:rFonts w:ascii="Times New Roman" w:hAnsi="Times New Roman" w:eastAsia="Times New Roman" w:cs="Times New Roman"/>
      <w:sz w:val="28"/>
      <w:szCs w:val="28"/>
    </w:rPr>
  </w:style>
  <w:style w:type="paragraph" w:styleId="51" w:customStyle="1">
    <w:name w:val="Основной текст (5)"/>
    <w:basedOn w:val="Normal"/>
    <w:link w:val="5"/>
    <w:qFormat/>
    <w:pPr>
      <w:widowControl w:val="false"/>
      <w:shd w:val="clear" w:color="auto" w:fill="FFFFFF"/>
      <w:spacing w:lineRule="exact" w:line="259" w:before="540" w:after="0"/>
      <w:ind w:firstLine="760"/>
      <w:jc w:val="both"/>
    </w:pPr>
    <w:rPr>
      <w:rFonts w:ascii="Times New Roman" w:hAnsi="Times New Roman" w:eastAsia="Times New Roman" w:cs="Times New Roman"/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yle51" w:customStyle="1">
    <w:name w:val="Style5"/>
    <w:basedOn w:val="Normal"/>
    <w:uiPriority w:val="99"/>
    <w:qFormat/>
    <w:pPr>
      <w:widowControl w:val="false"/>
      <w:spacing w:lineRule="exact" w:line="322" w:before="0" w:after="0"/>
      <w:jc w:val="center"/>
    </w:pPr>
    <w:rPr>
      <w:rFonts w:ascii="Times New Roman" w:hAnsi="Times New Roman" w:cs="Times New Roman"/>
      <w:sz w:val="24"/>
      <w:szCs w:val="24"/>
    </w:rPr>
  </w:style>
  <w:style w:type="paragraph" w:styleId="Style91" w:customStyle="1">
    <w:name w:val="Style9"/>
    <w:basedOn w:val="Normal"/>
    <w:uiPriority w:val="99"/>
    <w:qFormat/>
    <w:pPr>
      <w:widowControl w:val="false"/>
      <w:spacing w:lineRule="exact" w:line="264" w:before="0" w:after="0"/>
      <w:jc w:val="center"/>
    </w:pPr>
    <w:rPr>
      <w:rFonts w:ascii="Times New Roman" w:hAnsi="Times New Roman" w:cs="Times New Roman"/>
      <w:sz w:val="24"/>
      <w:szCs w:val="24"/>
    </w:rPr>
  </w:style>
  <w:style w:type="paragraph" w:styleId="Style41" w:customStyle="1">
    <w:name w:val="Style4"/>
    <w:basedOn w:val="Normal"/>
    <w:uiPriority w:val="99"/>
    <w:qFormat/>
    <w:pPr>
      <w:widowControl w:val="false"/>
      <w:spacing w:lineRule="auto" w:line="240" w:before="0" w:after="0"/>
      <w:jc w:val="both"/>
    </w:pPr>
    <w:rPr>
      <w:rFonts w:ascii="Times New Roman" w:hAnsi="Times New Roman" w:cs="Times New Roman"/>
      <w:sz w:val="24"/>
      <w:szCs w:val="24"/>
    </w:rPr>
  </w:style>
  <w:style w:type="paragraph" w:styleId="Style110" w:customStyle="1">
    <w:name w:val="Style1"/>
    <w:basedOn w:val="Normal"/>
    <w:uiPriority w:val="99"/>
    <w:qFormat/>
    <w:pPr>
      <w:widowControl w:val="false"/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qFormat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D126537C0241997839B874252DF25B6A1D32EE176851D9E7DA6237AAA1E560963008AA6EC00323C25B3AFB9E6D096AB44IES2I" TargetMode="External"/><Relationship Id="rId3" Type="http://schemas.openxmlformats.org/officeDocument/2006/relationships/hyperlink" Target="https://login.consultant.ru/link/?req=doc&amp;base=RZB&amp;n=439453&amp;dst=100009" TargetMode="External"/><Relationship Id="rId4" Type="http://schemas.openxmlformats.org/officeDocument/2006/relationships/hyperlink" Target="https://login.consultant.ru/link/?req=doc&amp;base=RZB&amp;n=477891&amp;dst=100019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E573-FAEE-4CE3-B423-2FC7CA24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Application>LibreOffice/25.8.4.2$Linux_X86_64 LibreOffice_project/290daaa01b999472f0c7a3890eb6a550fd74c6df</Application>
  <AppVersion>15.0000</AppVersion>
  <Pages>8</Pages>
  <Words>1536</Words>
  <Characters>11932</Characters>
  <CharactersWithSpaces>13416</CharactersWithSpaces>
  <Paragraphs>283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2022-03-15T03:39:00Z</dcterms:created>
  <dc:creator>доходы</dc:creator>
  <dc:description/>
  <dc:language>ru-RU</dc:language>
  <cp:lastModifiedBy/>
  <cp:lastPrinted>2026-02-16T10:43:00Z</cp:lastPrinted>
  <dcterms:modified xsi:type="dcterms:W3CDTF">2026-02-19T08:33:32Z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6CF20A2523CD40AFB7C1AE4BD56E29DB_12</vt:lpwstr>
  </property>
  <property fmtid="{D5CDD505-2E9C-101B-9397-08002B2CF9AE}" pid="3" name="KSOProductBuildVer">
    <vt:lpwstr>1049-12.2.0.23196</vt:lpwstr>
  </property>
</Properties>
</file>